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2F5496"/>
          <w:sz w:val="32"/>
        </w:rPr>
        <w:t>ПРОЕКТ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752"/>
      </w:tblGrid>
      <w:tr>
        <w:tc>
          <w:tcPr>
            <w:tcW w:type="dxa" w:w="4819"/>
          </w:tcPr>
          <w:p>
            <w:pPr>
              <w:spacing w:after="20"/>
            </w:pPr>
            <w:r>
              <w:rPr>
                <w:b/>
              </w:rPr>
              <w:t>УТВЕРЖДЕН</w:t>
            </w:r>
          </w:p>
        </w:tc>
      </w:tr>
      <w:tr>
        <w:tc>
          <w:tcPr>
            <w:tcW w:type="dxa" w:w="4819"/>
          </w:tcPr>
          <w:p>
            <w:pPr>
              <w:spacing w:after="20"/>
            </w:pPr>
            <w:r>
              <w:t>решением Правления ТСЖ</w:t>
              <w:br/>
              <w:t>«Фридриха Энгельса, 7»</w:t>
            </w:r>
          </w:p>
        </w:tc>
      </w:tr>
      <w:tr>
        <w:tc>
          <w:tcPr>
            <w:tcW w:type="dxa" w:w="4819"/>
          </w:tcPr>
          <w:p>
            <w:pPr>
              <w:spacing w:after="20"/>
            </w:pPr>
            <w:r>
              <w:t>Протокол № ______</w:t>
            </w:r>
          </w:p>
        </w:tc>
      </w:tr>
      <w:tr>
        <w:tc>
          <w:tcPr>
            <w:tcW w:type="dxa" w:w="4819"/>
          </w:tcPr>
          <w:p>
            <w:pPr>
              <w:spacing w:after="20"/>
            </w:pPr>
            <w:r>
              <w:t>от «___» __________ 20___ г.</w:t>
            </w:r>
          </w:p>
        </w:tc>
      </w:tr>
      <w:tr>
        <w:tc>
          <w:tcPr>
            <w:tcW w:type="dxa" w:w="4819"/>
          </w:tcPr>
          <w:p>
            <w:pPr>
              <w:spacing w:after="20"/>
            </w:pPr>
            <w:r>
              <w:t>Председатель __________ /____________/</w:t>
            </w:r>
          </w:p>
        </w:tc>
      </w:tr>
    </w:tbl>
    <w:p/>
    <w:p/>
    <w:p>
      <w:pPr>
        <w:pStyle w:val="Title"/>
        <w:spacing w:after="80"/>
        <w:jc w:val="center"/>
      </w:pPr>
      <w:r>
        <w:rPr>
          <w:b/>
        </w:rPr>
        <w:t>Единый стандарт ТСЖ</w:t>
        <w:br/>
      </w:r>
      <w:r>
        <w:rPr>
          <w:b/>
        </w:rPr>
        <w:t>«Фридриха Энгельса, 7»</w:t>
        <w:br/>
      </w:r>
      <w:r>
        <w:rPr>
          <w:b/>
        </w:rPr>
        <w:t>по выбору и применению источников электропитания и систем бесперебойного питания</w:t>
      </w:r>
    </w:p>
    <w:p>
      <w:pPr>
        <w:pStyle w:val="Subtitle"/>
        <w:spacing w:after="360"/>
        <w:jc w:val="center"/>
      </w:pPr>
      <w:r>
        <w:t>Требования к безопасности, качеству электропитания, надёжности, резервированию, аккумуляторам и диспетчеризации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4876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</w:rPr>
              <w:t>Обозначение документа</w:t>
            </w:r>
          </w:p>
        </w:tc>
        <w:tc>
          <w:tcPr>
            <w:tcW w:type="dxa" w:w="487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СТО-ТСЖ-ФЭ7-ЭП-01</w:t>
            </w:r>
          </w:p>
        </w:tc>
      </w:tr>
      <w:tr>
        <w:tc>
          <w:tcPr>
            <w:tcW w:type="dxa" w:w="4876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</w:rPr>
              <w:t>Версия</w:t>
            </w:r>
          </w:p>
        </w:tc>
        <w:tc>
          <w:tcPr>
            <w:tcW w:type="dxa" w:w="487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1.0</w:t>
            </w:r>
          </w:p>
        </w:tc>
      </w:tr>
      <w:tr>
        <w:tc>
          <w:tcPr>
            <w:tcW w:type="dxa" w:w="4876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</w:rPr>
              <w:t>Статус</w:t>
            </w:r>
          </w:p>
        </w:tc>
        <w:tc>
          <w:tcPr>
            <w:tcW w:type="dxa" w:w="487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Проект для утверждения</w:t>
            </w:r>
          </w:p>
        </w:tc>
      </w:tr>
      <w:tr>
        <w:tc>
          <w:tcPr>
            <w:tcW w:type="dxa" w:w="4876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</w:rPr>
              <w:t>Редакция</w:t>
            </w:r>
          </w:p>
        </w:tc>
        <w:tc>
          <w:tcPr>
            <w:tcW w:type="dxa" w:w="487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Основная для людей</w:t>
            </w:r>
          </w:p>
        </w:tc>
      </w:tr>
      <w:tr>
        <w:tc>
          <w:tcPr>
            <w:tcW w:type="dxa" w:w="4876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</w:rPr>
              <w:t>Дата проверки нормативных ссылок</w:t>
            </w:r>
          </w:p>
        </w:tc>
        <w:tc>
          <w:tcPr>
            <w:tcW w:type="dxa" w:w="487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26 июля 2026 года</w:t>
            </w:r>
          </w:p>
        </w:tc>
      </w:tr>
      <w:tr>
        <w:tc>
          <w:tcPr>
            <w:tcW w:type="dxa" w:w="4876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b/>
              </w:rPr>
              <w:t>Периодический пересмотр</w:t>
            </w:r>
          </w:p>
        </w:tc>
        <w:tc>
          <w:tcPr>
            <w:tcW w:type="dxa" w:w="487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Не реже одного раза в год и при изменении нормативных требований</w:t>
            </w:r>
          </w:p>
        </w:tc>
      </w:tr>
    </w:tbl>
    <w:p>
      <w:pPr>
        <w:spacing w:before="280"/>
        <w:jc w:val="center"/>
      </w:pPr>
      <w:r>
        <w:t>2026</w:t>
      </w:r>
    </w:p>
    <w:p>
      <w:r>
        <w:br w:type="page"/>
      </w:r>
    </w:p>
    <w:p>
      <w:pPr>
        <w:pStyle w:val="Heading1"/>
        <w:keepNext/>
      </w:pPr>
      <w:r>
        <w:t>Паспорт документа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2835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8"/>
              </w:rPr>
              <w:t>Позиция</w:t>
            </w:r>
          </w:p>
        </w:tc>
        <w:tc>
          <w:tcPr>
            <w:tcW w:type="dxa" w:w="6520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Владелец документа</w:t>
            </w:r>
          </w:p>
        </w:tc>
        <w:tc>
          <w:tcPr>
            <w:tcW w:type="dxa" w:w="65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ТСЖ «Фридриха Энгельса, 7».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Назначение</w:t>
            </w:r>
          </w:p>
        </w:tc>
        <w:tc>
          <w:tcPr>
            <w:tcW w:type="dxa" w:w="65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Единые критерии выбора, закупки, монтажа, приёмки, эксплуатации и замены источников электропитания, систем резервирования и связанного силового оборудования.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Обязательность</w:t>
            </w:r>
          </w:p>
        </w:tc>
        <w:tc>
          <w:tcPr>
            <w:tcW w:type="dxa" w:w="65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Применяется при закупках и работах, оплачиваемых ТСЖ, если иное письменно не согласовано Правлением.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Приоритет норм</w:t>
            </w:r>
          </w:p>
        </w:tc>
        <w:tc>
          <w:tcPr>
            <w:tcW w:type="dxa" w:w="65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Законодательство, технические регламенты, проектная документация, требования пожарной безопасности и инструкции изготовителя имеют приоритет перед внутренними положениями.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Уровень контроля</w:t>
            </w:r>
          </w:p>
        </w:tc>
        <w:tc>
          <w:tcPr>
            <w:tcW w:type="dxa" w:w="65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Паспорт или официальное техническое описание, документы соответствия, визуальный осмотр, измерение базовых параметров и пробная работа с реальной нагрузкой.</w:t>
            </w:r>
          </w:p>
        </w:tc>
      </w:tr>
      <w:tr>
        <w:trPr>
          <w:cantSplit/>
        </w:trPr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Формат редакции</w:t>
            </w:r>
          </w:p>
        </w:tc>
        <w:tc>
          <w:tcPr>
            <w:tcW w:type="dxa" w:w="65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Пояснительный нормативный текст для Правления, подрядчиков и обслуживающих организаций.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EEF4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Ключевая идея. </w:t>
            </w:r>
            <w:r>
              <w:t>ТСЖ выбирает не отдельный блок питания или ИБП по рекламной мощности, а безопасную и контролируемую систему электропитания, соответствующую реальной нагрузке, условиям размещения и последствиям отказа.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Содержание</w:t>
      </w:r>
    </w:p>
    <w:p>
      <w:pPr>
        <w:pStyle w:val="TOCLine"/>
        <w:spacing w:after="20"/>
      </w:pPr>
      <w:r>
        <w:t>1. Общие положения</w:t>
      </w:r>
    </w:p>
    <w:p>
      <w:pPr>
        <w:pStyle w:val="TOCLine"/>
        <w:spacing w:after="20"/>
      </w:pPr>
      <w:r>
        <w:t>2. Цели и принципы Стандарта</w:t>
      </w:r>
    </w:p>
    <w:p>
      <w:pPr>
        <w:pStyle w:val="TOCLine"/>
        <w:spacing w:after="20"/>
      </w:pPr>
      <w:r>
        <w:t>3. Область применения и состав оборудования</w:t>
      </w:r>
    </w:p>
    <w:p>
      <w:pPr>
        <w:pStyle w:val="TOCLine"/>
        <w:spacing w:after="20"/>
      </w:pPr>
      <w:r>
        <w:t>4. Термины, сокращения и уровни требований</w:t>
      </w:r>
    </w:p>
    <w:p>
      <w:pPr>
        <w:pStyle w:val="TOCLine"/>
        <w:spacing w:after="20"/>
      </w:pPr>
      <w:r>
        <w:t>5. Общие правила выбора</w:t>
      </w:r>
    </w:p>
    <w:p>
      <w:pPr>
        <w:pStyle w:val="TOCLine"/>
        <w:spacing w:after="20"/>
      </w:pPr>
      <w:r>
        <w:t>6. Низковольтные блоки питания постоянного тока</w:t>
      </w:r>
    </w:p>
    <w:p>
      <w:pPr>
        <w:pStyle w:val="TOCLine"/>
        <w:spacing w:after="20"/>
      </w:pPr>
      <w:r>
        <w:t>7. Источники питания светодиодного оборудования</w:t>
      </w:r>
    </w:p>
    <w:p>
      <w:pPr>
        <w:pStyle w:val="TOCLine"/>
        <w:spacing w:after="20"/>
      </w:pPr>
      <w:r>
        <w:t>8. Герметизированное исполнение и условия размещения</w:t>
      </w:r>
    </w:p>
    <w:p>
      <w:pPr>
        <w:pStyle w:val="TOCLine"/>
        <w:spacing w:after="20"/>
      </w:pPr>
      <w:r>
        <w:t>9. Стабилизаторы напряжения</w:t>
      </w:r>
    </w:p>
    <w:p>
      <w:pPr>
        <w:pStyle w:val="TOCLine"/>
        <w:spacing w:after="20"/>
      </w:pPr>
      <w:r>
        <w:t>10. Источники бесперебойного питания</w:t>
      </w:r>
    </w:p>
    <w:p>
      <w:pPr>
        <w:pStyle w:val="TOCLine"/>
        <w:spacing w:after="20"/>
      </w:pPr>
      <w:r>
        <w:t>11. Особенности различных типов нагрузки</w:t>
      </w:r>
    </w:p>
    <w:p>
      <w:pPr>
        <w:pStyle w:val="TOCLine"/>
        <w:spacing w:after="20"/>
      </w:pPr>
      <w:r>
        <w:t>12. Расчёт мощности, пусковых токов и автономности</w:t>
      </w:r>
    </w:p>
    <w:p>
      <w:pPr>
        <w:pStyle w:val="TOCLine"/>
        <w:spacing w:after="20"/>
      </w:pPr>
      <w:r>
        <w:t>13. Качество выходного напряжения и электромагнитная совместимость</w:t>
      </w:r>
    </w:p>
    <w:p>
      <w:pPr>
        <w:pStyle w:val="TOCLine"/>
        <w:spacing w:after="20"/>
      </w:pPr>
      <w:r>
        <w:t>14. Аккумуляторные батареи и пожарная безопасность</w:t>
      </w:r>
    </w:p>
    <w:p>
      <w:pPr>
        <w:pStyle w:val="TOCLine"/>
        <w:spacing w:after="20"/>
      </w:pPr>
      <w:r>
        <w:t>15. Тепловой режим, вентиляция и шум</w:t>
      </w:r>
    </w:p>
    <w:p>
      <w:pPr>
        <w:pStyle w:val="TOCLine"/>
        <w:spacing w:after="20"/>
      </w:pPr>
      <w:r>
        <w:t>16. Кабели, аппараты защиты, заземление и коммутация</w:t>
      </w:r>
    </w:p>
    <w:p>
      <w:pPr>
        <w:pStyle w:val="TOCLine"/>
        <w:spacing w:after="20"/>
      </w:pPr>
      <w:r>
        <w:t>17. Защита от импульсных перенапряжений</w:t>
      </w:r>
    </w:p>
    <w:p>
      <w:pPr>
        <w:pStyle w:val="TOCLine"/>
        <w:spacing w:after="20"/>
      </w:pPr>
      <w:r>
        <w:t>18. Мониторинг, обратная связь и диспетчеризация</w:t>
      </w:r>
    </w:p>
    <w:p>
      <w:pPr>
        <w:pStyle w:val="TOCLine"/>
        <w:spacing w:after="20"/>
      </w:pPr>
      <w:r>
        <w:t>19. Надёжность, гарантия и ремонтопригодность</w:t>
      </w:r>
    </w:p>
    <w:p>
      <w:pPr>
        <w:pStyle w:val="TOCLine"/>
        <w:spacing w:after="20"/>
      </w:pPr>
      <w:r>
        <w:t>20. Требования к закупке и документации</w:t>
      </w:r>
    </w:p>
    <w:p>
      <w:pPr>
        <w:pStyle w:val="TOCLine"/>
        <w:spacing w:after="20"/>
      </w:pPr>
      <w:r>
        <w:t>21. Входной контроль и приёмка</w:t>
      </w:r>
    </w:p>
    <w:p>
      <w:pPr>
        <w:pStyle w:val="TOCLine"/>
        <w:spacing w:after="20"/>
      </w:pPr>
      <w:r>
        <w:t>22. Эксплуатация и техническое обслуживание</w:t>
      </w:r>
    </w:p>
    <w:p>
      <w:pPr>
        <w:pStyle w:val="TOCLine"/>
        <w:spacing w:after="20"/>
      </w:pPr>
      <w:r>
        <w:t>23. Исключения и отклонения</w:t>
      </w:r>
    </w:p>
    <w:p>
      <w:pPr>
        <w:pStyle w:val="TOCLine"/>
        <w:spacing w:after="20"/>
      </w:pPr>
      <w:r>
        <w:t>24. Контроль актуальности Стандарта</w:t>
      </w:r>
    </w:p>
    <w:p>
      <w:pPr>
        <w:pStyle w:val="TOCLine"/>
        <w:spacing w:after="20"/>
      </w:pPr>
      <w:r>
        <w:t>Приложение А. Матрица требований по назначению</w:t>
      </w:r>
    </w:p>
    <w:p>
      <w:pPr>
        <w:pStyle w:val="TOCLine"/>
        <w:spacing w:after="20"/>
      </w:pPr>
      <w:r>
        <w:t>Приложение Б. Карта выбора оборудования</w:t>
      </w:r>
    </w:p>
    <w:p>
      <w:pPr>
        <w:pStyle w:val="TOCLine"/>
        <w:spacing w:after="20"/>
      </w:pPr>
      <w:r>
        <w:t>Приложение В. Лист приёмки</w:t>
      </w:r>
    </w:p>
    <w:p>
      <w:pPr>
        <w:pStyle w:val="TOCLine"/>
        <w:spacing w:after="20"/>
      </w:pPr>
      <w:r>
        <w:t>Приложение Г. Параметры мониторинга</w:t>
      </w:r>
    </w:p>
    <w:p>
      <w:pPr>
        <w:pStyle w:val="TOCLine"/>
        <w:spacing w:after="20"/>
      </w:pPr>
      <w:r>
        <w:t>Приложение Д. Нормативные и справочные документы</w:t>
      </w:r>
    </w:p>
    <w:p>
      <w:pPr>
        <w:pStyle w:val="Heading1"/>
        <w:keepNext/>
      </w:pPr>
      <w:r>
        <w:t>1. Общие положения</w:t>
      </w:r>
    </w:p>
    <w:p>
      <w:pPr>
        <w:spacing w:after="60"/>
      </w:pPr>
      <w:r>
        <w:t>1.1. Настоящий Стандарт устанавливает единый подход к выбору и применению оборудования, которое преобразует, стабилизирует, распределяет, резервирует или контролирует электрическое питание оборудования ТСЖ.</w:t>
      </w:r>
    </w:p>
    <w:p>
      <w:pPr>
        <w:spacing w:after="60"/>
      </w:pPr>
      <w:r>
        <w:t>1.2. Стандарт применяется при новых закупках, замене вышедшего из строя оборудования, модернизации инженерных систем и согласовании подрядных работ. Исправное ранее установленное оборудование может продолжать работу до плановой замены, если оно безопасно и не создаёт системных проблем.</w:t>
      </w:r>
    </w:p>
    <w:p>
      <w:pPr>
        <w:spacing w:after="60"/>
      </w:pPr>
      <w:r>
        <w:t>1.3. Стандарт является внутренним организационным документом. Он не заменяет проектную документацию, расчёты квалифицированного специалиста, требования изготовителя и обязательные нормы Российской Федерации и ЕАЭС.</w:t>
      </w:r>
    </w:p>
    <w:p>
      <w:pPr>
        <w:spacing w:after="60"/>
      </w:pPr>
      <w:r>
        <w:t>1.4. При противоречии применяется более строгое обязательное требование. Отклонение от внутреннего предпочтения допускается только при техническом обосновании и письменном согласовании.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EEF4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Основной принцип. </w:t>
            </w:r>
            <w:r>
              <w:t>Источник питания выбирается по характеру нагрузки, пусковым токам, условиям размещения, требуемой автономности и последствиям отказа, а не только по указанной мощности.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2. Цели и принципы Стандарта</w:t>
      </w:r>
    </w:p>
    <w:p>
      <w:pPr>
        <w:spacing w:after="40"/>
        <w:ind w:left="340" w:hanging="227"/>
      </w:pPr>
      <w:r>
        <w:t>• снизить риск пожара, поражения электрическим током и повреждения оборудования;</w:t>
      </w:r>
    </w:p>
    <w:p>
      <w:pPr>
        <w:spacing w:after="40"/>
        <w:ind w:left="340" w:hanging="227"/>
      </w:pPr>
      <w:r>
        <w:t>• исключить работу блоков питания, стабилизаторов и ИБП на предельной мощности;</w:t>
      </w:r>
    </w:p>
    <w:p>
      <w:pPr>
        <w:spacing w:after="40"/>
        <w:ind w:left="340" w:hanging="227"/>
      </w:pPr>
      <w:r>
        <w:t>• обеспечить корректное питание электронных, индуктивных, двигательных и импульсных нагрузок;</w:t>
      </w:r>
    </w:p>
    <w:p>
      <w:pPr>
        <w:spacing w:after="40"/>
        <w:ind w:left="340" w:hanging="227"/>
      </w:pPr>
      <w:r>
        <w:t>• повысить устойчивость освещения, видеонаблюдения, связи, автоматики, контроля доступа и насосного оборудования;</w:t>
      </w:r>
    </w:p>
    <w:p>
      <w:pPr>
        <w:spacing w:after="40"/>
        <w:ind w:left="340" w:hanging="227"/>
      </w:pPr>
      <w:r>
        <w:t>• предусмотреть контролируемое резервирование и понятное поведение при отказе сети;</w:t>
      </w:r>
    </w:p>
    <w:p>
      <w:pPr>
        <w:spacing w:after="40"/>
        <w:ind w:left="340" w:hanging="227"/>
      </w:pPr>
      <w:r>
        <w:t>• обеспечить локальный мониторинг без обязательной зависимости от облачных сервисов;</w:t>
      </w:r>
    </w:p>
    <w:p>
      <w:pPr>
        <w:spacing w:after="40"/>
        <w:ind w:left="340" w:hanging="227"/>
      </w:pPr>
      <w:r>
        <w:t>• унифицировать эксплуатацию, запасные части и порядок приёмки.</w:t>
      </w:r>
    </w:p>
    <w:p>
      <w:pPr>
        <w:pStyle w:val="Heading1"/>
        <w:keepNext/>
      </w:pPr>
      <w:r>
        <w:t>3. Область применения и состав оборудования</w:t>
      </w:r>
    </w:p>
    <w:p>
      <w:pPr>
        <w:spacing w:after="60"/>
      </w:pPr>
      <w:r>
        <w:t>3.1. Стандарт распространяется на следующие группы оборудования:</w:t>
      </w:r>
    </w:p>
    <w:p>
      <w:pPr>
        <w:spacing w:after="40"/>
        <w:ind w:left="340" w:hanging="227"/>
      </w:pPr>
      <w:r>
        <w:t>• сетевые блоки питания AC/DC на 5, 12, 24, 36, 48 В и иные требуемые напряжения;</w:t>
      </w:r>
    </w:p>
    <w:p>
      <w:pPr>
        <w:spacing w:after="40"/>
        <w:ind w:left="340" w:hanging="227"/>
      </w:pPr>
      <w:r>
        <w:t>• LED-драйверы постоянного тока и блоки постоянного напряжения для светодиодных модулей и лент;</w:t>
      </w:r>
    </w:p>
    <w:p>
      <w:pPr>
        <w:spacing w:after="40"/>
        <w:ind w:left="340" w:hanging="227"/>
      </w:pPr>
      <w:r>
        <w:t>• DC/DC-преобразователи, выпрямители, инверторы и зарядные устройства;</w:t>
      </w:r>
    </w:p>
    <w:p>
      <w:pPr>
        <w:spacing w:after="40"/>
        <w:ind w:left="340" w:hanging="227"/>
      </w:pPr>
      <w:r>
        <w:t>• разделительные и понижающие трансформаторы;</w:t>
      </w:r>
    </w:p>
    <w:p>
      <w:pPr>
        <w:spacing w:after="40"/>
        <w:ind w:left="340" w:hanging="227"/>
      </w:pPr>
      <w:r>
        <w:t>• инверторные стабилизаторы напряжения;</w:t>
      </w:r>
    </w:p>
    <w:p>
      <w:pPr>
        <w:spacing w:after="40"/>
        <w:ind w:left="340" w:hanging="227"/>
      </w:pPr>
      <w:r>
        <w:t>• ИБП переменного тока класса online/VFI и ИБП постоянного тока;</w:t>
      </w:r>
    </w:p>
    <w:p>
      <w:pPr>
        <w:spacing w:after="40"/>
        <w:ind w:left="340" w:hanging="227"/>
      </w:pPr>
      <w:r>
        <w:t>• аккумуляторные батареи, батарейные модули, BMS и шкафы размещения;</w:t>
      </w:r>
    </w:p>
    <w:p>
      <w:pPr>
        <w:spacing w:after="40"/>
        <w:ind w:left="340" w:hanging="227"/>
      </w:pPr>
      <w:r>
        <w:t>• АВР, байпасы, распределительные блоки, PDU, контакторы, пускатели и устройства плавного пуска;</w:t>
      </w:r>
    </w:p>
    <w:p>
      <w:pPr>
        <w:spacing w:after="40"/>
        <w:ind w:left="340" w:hanging="227"/>
      </w:pPr>
      <w:r>
        <w:t>• УЗИП, реле контроля напряжения и иные устройства защиты электропитания;</w:t>
      </w:r>
    </w:p>
    <w:p>
      <w:pPr>
        <w:spacing w:after="40"/>
        <w:ind w:left="340" w:hanging="227"/>
      </w:pPr>
      <w:r>
        <w:t>• интерфейсные модули мониторинга и диспетчеризации.</w:t>
      </w:r>
    </w:p>
    <w:p>
      <w:pPr>
        <w:spacing w:after="60"/>
      </w:pPr>
      <w:r>
        <w:t>3.2. Оборудование может питать освещение, компьютеры и серверы, сетевое оборудование, видеонаблюдение, домофонию, автоматику, системы контроля доступа, электромагнитные и электромеханические замки, насосы, приводы, аварийное освещение, измерительные приборы и иные электроприёмники ТСЖ.</w:t>
      </w:r>
    </w:p>
    <w:p>
      <w:pPr>
        <w:spacing w:after="60"/>
      </w:pPr>
      <w:r>
        <w:t>3.3. Для систем противопожарной защиты и других систем безопасности применяются специальные требования проекта и действующих пожарных норм. Настоящий Стандарт может только дополнять, но не ослаблять их.</w:t>
      </w:r>
    </w:p>
    <w:p>
      <w:pPr>
        <w:pStyle w:val="Heading1"/>
        <w:keepNext/>
      </w:pPr>
      <w:r>
        <w:t>4. Термины, сокращения и уровни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2268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8"/>
              </w:rPr>
              <w:t>Термин</w:t>
            </w:r>
          </w:p>
        </w:tc>
        <w:tc>
          <w:tcPr>
            <w:tcW w:type="dxa" w:w="7087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ИБП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Источник бесперебойного питания.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VFI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Класс ИБП, у которого выходное напряжение и частота не зависят от параметров входной сети в нормальном режиме двойного преобразования.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AC/DC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Преобразование переменного напряжения в постоянное.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AC–DC–AC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Двойное преобразование переменного напряжения через промежуточное звено постоянного тока.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BMS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Система управления и защиты аккумуляторной батареи.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УЗИП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Устройство защиты от импульсных перенапряжений.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Сухой контакт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Гальванически отделённый релейный контакт для передачи состояния без собственного напряжения.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Обязательное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Требование должно выполняться, если прямо не оформлено допустимое исключение.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Рекомендуемое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Преимущество при выборе, повышающее надёжность или удобство эксплуатации.</w:t>
            </w:r>
          </w:p>
        </w:tc>
      </w:tr>
      <w:tr>
        <w:trPr>
          <w:cantSplit/>
        </w:trPr>
        <w:tc>
          <w:tcPr>
            <w:tcW w:type="dxa" w:w="226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Дополнительное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Полезная функция, не являющаяся условием допуска для обычной закупки.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5. Общие правила выбора</w:t>
      </w:r>
    </w:p>
    <w:p>
      <w:pPr>
        <w:spacing w:after="60"/>
      </w:pPr>
      <w:r>
        <w:t>5.1. Оборудование должно иметь паспорт, руководство или официальное техническое описание с указанием входных и выходных параметров, допустимой нагрузки, условий эксплуатации, защит и способа монтажа.</w:t>
      </w:r>
    </w:p>
    <w:p>
      <w:pPr>
        <w:spacing w:after="60"/>
      </w:pPr>
      <w:r>
        <w:t>5.2. Для оборудования, подпадающего под обязательные технические регламенты, проверяется наличие действующего документа о соответствии и маркировки EAC.</w:t>
      </w:r>
    </w:p>
    <w:p>
      <w:pPr>
        <w:spacing w:after="60"/>
      </w:pPr>
      <w:r>
        <w:t>5.3. Предпочтение отдаётся промышленному оборудованию с понятной маркировкой, документированной схемой подключения, доступными клеммами, защитой от неправильной эксплуатации и возможностью локального контроля.</w:t>
      </w:r>
    </w:p>
    <w:p>
      <w:pPr>
        <w:spacing w:after="60"/>
      </w:pPr>
      <w:r>
        <w:t>5.4. Не допускается выбор оборудования, основные функции которого требуют постоянного подключения к серверу изготовителя. Отсутствие Интернета не должно препятствовать питанию нагрузки, локальной настройке и индикации аварий.</w:t>
      </w:r>
    </w:p>
    <w:p>
      <w:pPr>
        <w:spacing w:after="60"/>
      </w:pPr>
      <w:r>
        <w:t>5.5. Номинальная сеть ТСЖ принимается 230 В, 50 Гц. Оборудование должно быть совместимо с фактическим диапазоном сети и требованиями ГОСТ 29322 и ГОСТ 32144 [Н13, Н14].</w:t>
      </w:r>
    </w:p>
    <w:p>
      <w:pPr>
        <w:pStyle w:val="Heading1"/>
        <w:keepNext/>
      </w:pPr>
      <w:r>
        <w:t>6. Низковольтные блоки питания постоянного тока</w:t>
      </w:r>
    </w:p>
    <w:p>
      <w:pPr>
        <w:spacing w:after="60"/>
      </w:pPr>
      <w:r>
        <w:t>6.1. Выходное напряжение и допустимый ток блока должны соответствовать паспорту нагрузки. Замена 12 В на 24 В или наоборот без проверки совместимости запрещается.</w:t>
      </w:r>
    </w:p>
    <w:p>
      <w:pPr>
        <w:spacing w:after="60"/>
      </w:pPr>
      <w:r>
        <w:t>6.2. Для обычной электронной нагрузки длительная рабочая мощность не должна превышать 75–80 % номинальной мощности блока. Более высокий запас предусматривается при высокой температуре, закрытом размещении, длинных линиях или будущей модернизации.</w:t>
      </w:r>
    </w:p>
    <w:p>
      <w:pPr>
        <w:spacing w:after="60"/>
      </w:pPr>
      <w:r>
        <w:t>6.3. Обязательны защиты от короткого замыкания, перегрузки и перенапряжения. Защита от перегрева является обязательной для блоков существенной мощности и блоков в закрытых оболочках.</w:t>
      </w:r>
    </w:p>
    <w:p>
      <w:pPr>
        <w:spacing w:after="60"/>
      </w:pPr>
      <w:r>
        <w:t>6.4. Для распределённых низковольтных систем 24 В обычно предпочтительнее 12 В из-за меньшего тока и падения напряжения при той же мощности. Конкретное напряжение определяется совместимостью оборудования.</w:t>
      </w:r>
    </w:p>
    <w:p>
      <w:pPr>
        <w:spacing w:after="60"/>
      </w:pPr>
      <w:r>
        <w:t>6.5. Регулировка выходного напряжения допускается только в пределах, разрешённых изготовителем нагрузки. Потенциометр должен быть защищён от случайного изменения.</w:t>
      </w:r>
    </w:p>
    <w:p>
      <w:pPr>
        <w:spacing w:after="60"/>
      </w:pPr>
      <w:r>
        <w:t>6.6. Блоки питания должны соответствовать применимым требованиям ГОСТ IEC 61204, ГОСТ IEC 61558 или профильного стандарта на конкретный тип оборудования [Н7–Н10].</w:t>
      </w:r>
    </w:p>
    <w:p>
      <w:pPr>
        <w:pStyle w:val="Heading1"/>
        <w:keepNext/>
      </w:pPr>
      <w:r>
        <w:t>7. Источники питания светодиодного оборудования</w:t>
      </w:r>
    </w:p>
    <w:p>
      <w:pPr>
        <w:spacing w:after="60"/>
      </w:pPr>
      <w:r>
        <w:t>7.1. Необходимо различать драйвер постоянного тока и блок постоянного напряжения. Их взаимная замена без подтверждения изготовителя светодиодного модуля запрещается.</w:t>
      </w:r>
    </w:p>
    <w:p>
      <w:pPr>
        <w:spacing w:after="60"/>
      </w:pPr>
      <w:r>
        <w:t>7.2. Драйвер должен обеспечивать требуемый ток, диапазон выходного напряжения, допустимую мощность, тепловой режим и способ диммирования конкретного светильника.</w:t>
      </w:r>
    </w:p>
    <w:p>
      <w:pPr>
        <w:spacing w:after="60"/>
      </w:pPr>
      <w:r>
        <w:t>7.3. При питании светодиодных лент 12 или 24 В предусматривается запас мощности не менее 20 %, а при закрытом или наружном размещении – не менее 25–30 %, если изготовитель не требует большего.</w:t>
      </w:r>
    </w:p>
    <w:p>
      <w:pPr>
        <w:spacing w:after="60"/>
      </w:pPr>
      <w:r>
        <w:t>7.4. Для длинных линий питание подаётся несколькими участками либо с двух сторон, если это разрешено изготовителем. Падение напряжения не должно приводить к заметной разнице яркости и цветового оттенка.</w:t>
      </w:r>
    </w:p>
    <w:p>
      <w:pPr>
        <w:spacing w:after="60"/>
      </w:pPr>
      <w:r>
        <w:t>7.5. Источники питания для светодиодного оборудования должны соответствовать применимым требованиям ГОСТ IEC 61347-1 и ГОСТ IEC 61347-2-13 [Н11, Н12].</w:t>
      </w:r>
    </w:p>
    <w:p>
      <w:pPr>
        <w:pStyle w:val="Heading1"/>
        <w:keepNext/>
      </w:pPr>
      <w:r>
        <w:t>8. Герметизированное исполнение и условия размещения</w:t>
      </w:r>
    </w:p>
    <w:p>
      <w:pPr>
        <w:spacing w:after="60"/>
      </w:pPr>
      <w:r>
        <w:t>8.1. Основным выбором ТСЖ для автономных низковольтных блоков питания являются закрытые, герметизированные или залитые компаундом изделия. Такое исполнение уменьшает воздействие пыли, влаги, насекомых, загрязнений и случайного контакта с токоведущими частями.</w:t>
      </w:r>
    </w:p>
    <w:p>
      <w:pPr>
        <w:spacing w:after="60"/>
      </w:pPr>
      <w:r>
        <w:t>8.2. Герметизация не отменяет требования к теплоотводу. Блок должен быть рассчитан на работу при фактической температуре и не должен закрываться утеплителем, коробами или отделкой вопреки инструкции изготовителя.</w:t>
      </w:r>
    </w:p>
    <w:p>
      <w:pPr>
        <w:spacing w:after="60"/>
      </w:pPr>
      <w:r>
        <w:t>8.3. Для открытой улицы и влажных зон принимается степень защиты не ниже IP65. IP67 применяется при вероятности сильного обливания или кратковременного воздействия воды. Конкретная степень защиты определяется условиями размещения по ГОСТ 14254 [Н15].</w:t>
      </w:r>
    </w:p>
    <w:p>
      <w:pPr>
        <w:spacing w:after="60"/>
      </w:pPr>
      <w:r>
        <w:t>8.4. Негерметичные DIN-рейковые и открытые источники допускаются внутри закрытого электротехнического шкафа, обеспечивающего требуемую степень защиты, вентиляцию, пожарную безопасность и ограничение доступа.</w:t>
      </w:r>
    </w:p>
    <w:p>
      <w:pPr>
        <w:spacing w:after="60"/>
      </w:pPr>
      <w:r>
        <w:t>8.5. Кабельные вводы, соединители и распределительные коробки должны иметь степень защиты не ниже защищаемого оборудования. Недопустимо вводить кабель сверху без мер против затекания воды.</w:t>
      </w:r>
    </w:p>
    <w:p>
      <w:pPr>
        <w:pStyle w:val="Heading1"/>
        <w:keepNext/>
      </w:pPr>
      <w:r>
        <w:t>9. Стабилизаторы напряжения</w:t>
      </w:r>
    </w:p>
    <w:p>
      <w:pPr>
        <w:spacing w:after="60"/>
      </w:pPr>
      <w:r>
        <w:t>9.1. Основным типом стабилизатора для применения в ТСЖ является инверторный стабилизатор с двойным преобразованием по схеме AC–DC–AC и непрерывным формированием выходного синусоидального напряжения.</w:t>
      </w:r>
    </w:p>
    <w:p>
      <w:pPr>
        <w:spacing w:after="60"/>
      </w:pPr>
      <w:r>
        <w:t>9.2. Базовый стабилизатор не должен использовать механические щётки, ступенчатое релейное переключение обмоток или иные элементы, создающие разрывы, скачки и повышенный износ при обычной работе.</w:t>
      </w:r>
    </w:p>
    <w:p>
      <w:pPr>
        <w:spacing w:after="60"/>
      </w:pPr>
      <w:r>
        <w:t>9.3. Релейные, электромеханические, тиристорные, симисторные и иные типы допускаются только для специальных условий при письменном техническом обосновании. Основанием могут быть особо высокая мощность, специфическая нагрузка, тяжёлые климатические условия или отсутствие подходящего инверторного решения.</w:t>
      </w:r>
    </w:p>
    <w:p>
      <w:pPr>
        <w:spacing w:after="60"/>
      </w:pPr>
      <w:r>
        <w:t>9.4. Стабилизатор выбирают по активной и полной мощности, диапазону входного напряжения, допустимой перегрузке, пусковым токам, точности и форме выходного напряжения, температуре, наличию байпаса и средств мониторинга.</w:t>
      </w:r>
    </w:p>
    <w:p>
      <w:pPr>
        <w:spacing w:after="60"/>
      </w:pPr>
      <w:r>
        <w:t>9.5. Стабилизатор не считается ИБП и не обеспечивает автономную работу после полного исчезновения входного напряжения, если в нём отсутствует штатный накопитель энергии.</w:t>
      </w:r>
    </w:p>
    <w:p>
      <w:pPr>
        <w:pStyle w:val="Heading1"/>
        <w:keepNext/>
      </w:pPr>
      <w:r>
        <w:t>10. Источники бесперебойного питания</w:t>
      </w:r>
    </w:p>
    <w:p>
      <w:pPr>
        <w:spacing w:after="60"/>
      </w:pPr>
      <w:r>
        <w:t>10.1. Для новых закупок ТСЖ допускаются только ИБП с двойным преобразованием, относящиеся к классу online/VFI по эксплуатационной классификации серии ГОСТ IEC 62040.</w:t>
      </w:r>
    </w:p>
    <w:p>
      <w:pPr>
        <w:spacing w:after="60"/>
      </w:pPr>
      <w:r>
        <w:t>10.2. В нормальном режиме нагрузка должна постоянно получать питание от инвертора. Переход на аккумулятор не должен сопровождаться перерывом питания, характерным для offline и line-interactive устройств.</w:t>
      </w:r>
    </w:p>
    <w:p>
      <w:pPr>
        <w:spacing w:after="60"/>
      </w:pPr>
      <w:r>
        <w:t>10.3. Выходное напряжение должно иметь чистую синусоидальную форму. ИБП с аппроксимированной, ступенчатой или модифицированной синусоидой для оборудования ТСЖ не применяются.</w:t>
      </w:r>
    </w:p>
    <w:p>
      <w:pPr>
        <w:spacing w:after="60"/>
      </w:pPr>
      <w:r>
        <w:t>10.4. Обязательны автоматический электронный байпас, защита от перегрузки, короткого замыкания, перегрева, недопустимого напряжения батареи и ошибочного подключения. Для стационарных систем предпочтителен отдельный сервисный или ручной байпас.</w:t>
      </w:r>
    </w:p>
    <w:p>
      <w:pPr>
        <w:spacing w:after="60"/>
      </w:pPr>
      <w:r>
        <w:t>10.5. Паспорт должен содержать мощность одновременно в ВА и Вт, коэффициент мощности выхода, форму напряжения, перегрузочную способность, диапазон входа, параметры заряда и совместимые батареи.</w:t>
      </w:r>
    </w:p>
    <w:p>
      <w:pPr>
        <w:spacing w:after="60"/>
      </w:pPr>
      <w:r>
        <w:t>10.6. ИБП должен соответствовать применимым требованиям ГОСТ IEC 62040-1, 62040-2 и 62040-3; ИБП постоянного тока – также ГОСТ IEC 62040-5-3 [Н3–Н6].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EEF4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Запрет. </w:t>
            </w:r>
            <w:r>
              <w:t>Использование дешёвого ИБП с модифицированной синусоидой для насосов, трансформаторов, двигателей, вентиляторов и другого индуктивного оборудования не допускается.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11. Особенности различных типов нагрузки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2438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7"/>
              </w:rPr>
              <w:t>Нагрузка</w:t>
            </w:r>
          </w:p>
        </w:tc>
        <w:tc>
          <w:tcPr>
            <w:tcW w:type="dxa" w:w="6917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7"/>
              </w:rPr>
              <w:t>Особые требования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Компьютеры, серверы, сеть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Online/VFI, чистая синусоида, защита данных, возможность корректного завершения работы, USB/SNMP/RS-485 или сухие контакты.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Видеонаблюдение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Питание регистратора, коммутаторов, камер и роутера рассматривается как единая цепочка. Не допускается резервировать только один элемент.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Домофония и контроль доступа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Учитываются контроллеры, считыватели, замки, кнопки выхода, связь и заряд батареи. Поведение дверей при пожаре и исчезновении питания определяется проектом и требованиями безопасности.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Электромагнитные замки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Учитывается непрерывная мощность катушек, нагрев и суммарный ток. Резерв должен обеспечивать работу без перегрева проводов и клемм.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Насосы и двигатели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Требуются подтверждённая совместимость ИБП с двигательной нагрузкой, расчёт пускового тока и проверка перегрузочной характеристики. Номинальная мощность двигателя недостаточна для выбора.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Освещение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Учитывается пусковой ток драйверов, суммарная мощность, пульсации, аварийный режим и требуемое время работы.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Автоматика и датчики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Приоритет стабильному DC-питанию, селективной защите ветвей и отсутствию перезагрузок при переключениях.</w:t>
            </w:r>
          </w:p>
        </w:tc>
      </w:tr>
      <w:tr>
        <w:trPr>
          <w:cantSplit/>
        </w:trPr>
        <w:tc>
          <w:tcPr>
            <w:tcW w:type="dxa" w:w="2438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Противопожарные системы</w:t>
            </w:r>
          </w:p>
        </w:tc>
        <w:tc>
          <w:tcPr>
            <w:tcW w:type="dxa" w:w="6917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Только по специальным требованиям проекта, СП 6.13130.2025 и профильным нормам. Общий бытовой ИБП не заменяет сертифицированный источник питания системы.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12. Расчёт мощности, пусковых токов и автономности</w:t>
      </w:r>
    </w:p>
    <w:p>
      <w:pPr>
        <w:spacing w:after="60"/>
      </w:pPr>
      <w:r>
        <w:t>12.1. Суммируются активная мощность в ваттах и полная мощность в вольт-амперах. Выбранное оборудование должно удовлетворять обоим ограничениям.</w:t>
      </w:r>
    </w:p>
    <w:p>
      <w:pPr>
        <w:spacing w:after="60"/>
      </w:pPr>
      <w:r>
        <w:t>12.2. Для постоянной электронной нагрузки рабочая загрузка ИБП и стабилизатора обычно ограничивается 70–80 % номинала. Остаток предназначен для пиков, старения, температуры и расширения системы.</w:t>
      </w:r>
    </w:p>
    <w:p>
      <w:pPr>
        <w:spacing w:after="60"/>
      </w:pPr>
      <w:r>
        <w:t>12.3. Для насосов, компрессоров, приводов, трансформаторов и других нагрузок с пусковым током выбор выполняется по пусковой мощности и времени пуска, сопоставленным с перегрузочной кривой конкретного оборудования.</w:t>
      </w:r>
    </w:p>
    <w:p>
      <w:pPr>
        <w:spacing w:after="60"/>
      </w:pPr>
      <w:r>
        <w:t>12.4. Если производитель ИБП не подтверждает допустимость питания электродвигателя или конкретного типа нагрузки, такой ИБП не применяется.</w:t>
      </w:r>
    </w:p>
    <w:p>
      <w:pPr>
        <w:spacing w:after="60"/>
      </w:pPr>
      <w:r>
        <w:t>12.5. Время автономной работы определяется не рекламной ёмкостью батареи, а измеренной или расчётной нагрузкой, КПД инвертора, допустимой глубиной разряда, температурой, старением и током разряда.</w:t>
      </w:r>
    </w:p>
    <w:p>
      <w:pPr>
        <w:spacing w:after="60"/>
      </w:pPr>
      <w:r>
        <w:t>12.6. Для компьютеров должна быть предусмотрена автономность, достаточная для безопасного завершения работы. Для видеонаблюдения, связи, доступа и насосов требуемое время устанавливается решением ТСЖ с учётом последствий отказа.</w:t>
      </w:r>
    </w:p>
    <w:p>
      <w:pPr>
        <w:pStyle w:val="Heading1"/>
        <w:keepNext/>
      </w:pPr>
      <w:r>
        <w:t>13. Качество выходного напряжения и электромагнитная совместимость</w:t>
      </w:r>
    </w:p>
    <w:p>
      <w:pPr>
        <w:spacing w:after="60"/>
      </w:pPr>
      <w:r>
        <w:t>13.1. Выход ИБП и стабилизатора должен быть синусоидальным, стабильным по напряжению и частоте и пригодным для чувствительной электронной и индуктивной нагрузки.</w:t>
      </w:r>
    </w:p>
    <w:p>
      <w:pPr>
        <w:spacing w:after="60"/>
      </w:pPr>
      <w:r>
        <w:t>13.2. Предпочтительная точность выходного напряжения – не хуже ±2 % в установившемся режиме. Допускается ±3 %, если это не ухудшает работу нагрузки.</w:t>
      </w:r>
    </w:p>
    <w:p>
      <w:pPr>
        <w:spacing w:after="60"/>
      </w:pPr>
      <w:r>
        <w:t>13.3. Коэффициент нелинейных искажений выходного напряжения должен быть указан изготовителем. Для качественного ИБП предпочтительно не более 3 % при линейной нагрузке и не более 5 % при нелинейной нагрузке.</w:t>
      </w:r>
    </w:p>
    <w:p>
      <w:pPr>
        <w:spacing w:after="60"/>
      </w:pPr>
      <w:r>
        <w:t>13.4. Оборудование не должно создавать помехи видеонаблюдению, радиооборудованию, домофонии и сетям связи. Применяются требования ТР ТС 020/2011 и профильных стандартов ЭМС [Н2, Н4].</w:t>
      </w:r>
    </w:p>
    <w:p>
      <w:pPr>
        <w:spacing w:after="60"/>
      </w:pPr>
      <w:r>
        <w:t>13.5. Наличие коррекции коэффициента мощности на входе является преимуществом для оборудования значительной мощности.</w:t>
      </w:r>
    </w:p>
    <w:p>
      <w:pPr>
        <w:pStyle w:val="Heading1"/>
        <w:keepNext/>
      </w:pPr>
      <w:r>
        <w:t>14. Аккумуляторные батареи и пожарная безопасность</w:t>
      </w:r>
    </w:p>
    <w:p>
      <w:pPr>
        <w:spacing w:after="60"/>
      </w:pPr>
      <w:r>
        <w:t>14.1. Пожарная безопасность аккумуляторной системы имеет приоритет над максимальной ёмкостью, низкой стоимостью и компактностью.</w:t>
      </w:r>
    </w:p>
    <w:p>
      <w:pPr>
        <w:spacing w:after="60"/>
      </w:pPr>
      <w:r>
        <w:t>14.2. Применяются только заводские аккумуляторы, модули и батарейные системы с маркировкой, паспортом, датой изготовления и подтверждённой совместимостью с зарядным устройством или ИБП.</w:t>
      </w:r>
    </w:p>
    <w:p>
      <w:pPr>
        <w:spacing w:after="60"/>
      </w:pPr>
      <w:r>
        <w:t>14.3. Запрещаются самодельные батарейные сборки, повторное использование неизвестных элементов, смешивание батарей разного типа, возраста, ёмкости или производителя в одной последовательной цепи.</w:t>
      </w:r>
    </w:p>
    <w:p>
      <w:pPr>
        <w:spacing w:after="60"/>
      </w:pPr>
      <w:r>
        <w:t>14.4. Литиевые батареи допускаются только как промышленная батарейная система с BMS, защитой от перезаряда, переразряда, короткого замыкания, перегрузки по току и недопустимой температуры, соответствующая применимым требованиям ГОСТ Р МЭК 62619 и ГОСТ Р МЭК 63056 [Н28, Н29].</w:t>
      </w:r>
    </w:p>
    <w:p>
      <w:pPr>
        <w:spacing w:after="60"/>
      </w:pPr>
      <w:r>
        <w:t>14.5. Отдельные литиевые элементы без заводского корпуса и BMS для стационарного питания оборудования ТСЖ не применяются. Подключение внешней литиевой батареи к ИБП допускается только при прямом разрешении изготовителя ИБП.</w:t>
      </w:r>
    </w:p>
    <w:p>
      <w:pPr>
        <w:spacing w:after="60"/>
      </w:pPr>
      <w:r>
        <w:t>14.6. Свинцово-кислотные батареи с регулирующим клапаном применяются при соблюдении требований по заряду, температуре, вентиляции, положению установки и защите от короткого замыкания [Н26, Н27].</w:t>
      </w:r>
    </w:p>
    <w:p>
      <w:pPr>
        <w:spacing w:after="60"/>
      </w:pPr>
      <w:r>
        <w:t>14.7. Защита батарейной цепи устанавливается максимально близко к выводу батареи. Проводники должны быть защищены от механического повреждения и случайного замыкания инструментом или металлическими предметами.</w:t>
      </w:r>
    </w:p>
    <w:p>
      <w:pPr>
        <w:spacing w:after="60"/>
      </w:pPr>
      <w:r>
        <w:t>14.8. Батареи размещаются на негорючем устойчивом основании, вдали от нагревателей, прямого солнца, воды, горючих материалов и путей эвакуации. Доступ ограничивается обслуживающим персоналом.</w:t>
      </w:r>
    </w:p>
    <w:p>
      <w:pPr>
        <w:spacing w:after="60"/>
      </w:pPr>
      <w:r>
        <w:t>14.9. Для батарейных шкафов предусматриваются вентиляция или теплоотвод согласно паспорту, датчик температуры, понятная маркировка, свободный доступ для отключения и отсутствие хранения посторонних материалов.</w:t>
      </w:r>
    </w:p>
    <w:p>
      <w:pPr>
        <w:spacing w:after="60"/>
      </w:pPr>
      <w:r>
        <w:t>14.10. При вздутии, течи, запахе, перегреве, коррозии, механическом повреждении или повторяющихся ошибках BMS батарея немедленно выводится из эксплуатации и изолируется безопасным способом.</w:t>
      </w:r>
    </w:p>
    <w:p>
      <w:pPr>
        <w:spacing w:after="60"/>
      </w:pPr>
      <w:r>
        <w:t>14.11. Отработанные аккумуляторы передаются специализированной организации. Выбрасывание аккумуляторов с обычными отходами запрещается.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EEF4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Особое требование. </w:t>
            </w:r>
            <w:r>
              <w:t>При выборе между двумя технически подходящими батарейными решениями предпочтение отдаётся варианту с меньшим пожарным риском, лучшей заводской защитой, температурным контролем и более прозрачной документацией.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15. Тепловой режим, вентиляция и шум</w:t>
      </w:r>
    </w:p>
    <w:p>
      <w:pPr>
        <w:spacing w:after="60"/>
      </w:pPr>
      <w:r>
        <w:t>15.1. Номинальная мощность оборудования должна корректироваться с учётом фактической температуры. Работа в жарком щите, под крышей или в герметичном шкафу без расчёта снижения мощности не допускается.</w:t>
      </w:r>
    </w:p>
    <w:p>
      <w:pPr>
        <w:spacing w:after="60"/>
      </w:pPr>
      <w:r>
        <w:t>15.2. Вентиляционные отверстия и вентиляторы не перекрываются. Минимальные зазоры устанавливаются по инструкции изготовителя.</w:t>
      </w:r>
    </w:p>
    <w:p>
      <w:pPr>
        <w:spacing w:after="60"/>
      </w:pPr>
      <w:r>
        <w:t>15.3. Оборудование не устанавливается непосредственно на горючую отделку, если это не разрешено изготовителем. При необходимости применяется негорючее основание или шкаф.</w:t>
      </w:r>
    </w:p>
    <w:p>
      <w:pPr>
        <w:spacing w:after="60"/>
      </w:pPr>
      <w:r>
        <w:t>15.4. ИБП и стабилизаторы с постоянно работающими вентиляторами размещаются так, чтобы шум и вибрация не нарушали санитарные требования в жилых помещениях. Учитываются СП 51.13330 и СанПиН 1.2.3685-21 [Н33, Н34].</w:t>
      </w:r>
    </w:p>
    <w:p>
      <w:pPr>
        <w:spacing w:after="60"/>
      </w:pPr>
      <w:r>
        <w:t>15.5. Предпочтение отдаётся оборудованию с управлением вентиляторами по нагрузке и температуре, а также с заменяемыми вентиляторами стандартного типоразмера.</w:t>
      </w:r>
    </w:p>
    <w:p>
      <w:pPr>
        <w:pStyle w:val="Heading1"/>
        <w:keepNext/>
      </w:pPr>
      <w:r>
        <w:t>16. Кабели, аппараты защиты, заземление и коммутация</w:t>
      </w:r>
    </w:p>
    <w:p>
      <w:pPr>
        <w:spacing w:after="60"/>
      </w:pPr>
      <w:r>
        <w:t>16.1. Все стационарные линии выполняются медными кабелями, предназначенными для соответствующего напряжения, способа прокладки и условий окружающей среды.</w:t>
      </w:r>
    </w:p>
    <w:p>
      <w:pPr>
        <w:spacing w:after="60"/>
      </w:pPr>
      <w:r>
        <w:t>16.2. Сечение выбирается по длительно допустимому току, падению напряжения, условиям охлаждения, длине, способу прокладки и току короткого замыкания. Номинал автомата или предохранителя должен защищать кабель, а не только нагрузку.</w:t>
      </w:r>
    </w:p>
    <w:p>
      <w:pPr>
        <w:spacing w:after="60"/>
      </w:pPr>
      <w:r>
        <w:t>16.3. Для обычных стационарных линий 230 В в здании применяются кабели исполнения не ниже нг(А)-LS, если проектом или пожарными требованиями не установлен более высокий класс. ПВС и ШВВП не применяются как постоянная скрытая проводка.</w:t>
      </w:r>
    </w:p>
    <w:p>
      <w:pPr>
        <w:spacing w:after="60"/>
      </w:pPr>
      <w:r>
        <w:t>16.4. Для низковольтных цепей 12/24/48 В сечение рассчитывается по току и падению напряжения. Рекомендуемое падение – не более 3 % для чувствительного оборудования и не более 5 % при прямом разрешении изготовителя.</w:t>
      </w:r>
    </w:p>
    <w:p>
      <w:pPr>
        <w:spacing w:after="60"/>
      </w:pPr>
      <w:r>
        <w:t>16.5. Каждая отходящая ветвь постоянного тока должна иметь индивидуальную защиту, если короткое замыкание одной ветви может отключить остальные критические потребители.</w:t>
      </w:r>
    </w:p>
    <w:p>
      <w:pPr>
        <w:spacing w:after="60"/>
      </w:pPr>
      <w:r>
        <w:t>16.6. Многопроволочные жилы, подключаемые к винтовым клеммам, оконцовываются наконечниками. Лужение концов прижимных соединений вместо наконечника не применяется.</w:t>
      </w:r>
    </w:p>
    <w:p>
      <w:pPr>
        <w:spacing w:after="60"/>
      </w:pPr>
      <w:r>
        <w:t>16.7. Защитный проводник PE не коммутируется и не используется как рабочий проводник. Заземление выполняется по ГОСТ Р 50571.5.54-2024 [Н22].</w:t>
      </w:r>
    </w:p>
    <w:p>
      <w:pPr>
        <w:spacing w:after="60"/>
      </w:pPr>
      <w:r>
        <w:t>16.8. Цепи 230 В и цепи безопасного низкого напряжения разделяются, маркируются и прокладываются с соблюдением требований ГОСТ Р 50571.5.52, СП 256 и СП 76 [Н20, Н30, Н31].</w:t>
      </w:r>
    </w:p>
    <w:p>
      <w:pPr>
        <w:pStyle w:val="Heading1"/>
        <w:keepNext/>
      </w:pPr>
      <w:r>
        <w:t>17. Защита от импульсных перенапряжений</w:t>
      </w:r>
    </w:p>
    <w:p>
      <w:pPr>
        <w:spacing w:after="60"/>
      </w:pPr>
      <w:r>
        <w:t>17.1. УЗИП не заменяет стабилизатор или ИБП. Оно ограничивает кратковременные импульсные перенапряжения, которые могут повредить электронику и пробить изоляцию.</w:t>
      </w:r>
    </w:p>
    <w:p>
      <w:pPr>
        <w:spacing w:after="60"/>
      </w:pPr>
      <w:r>
        <w:t>17.2. Для наружных блоков питания, камер, фасадного освещения и длинных линий предусматривается скоординированная защита по силовым и, при необходимости, сигнальным цепям.</w:t>
      </w:r>
    </w:p>
    <w:p>
      <w:pPr>
        <w:spacing w:after="60"/>
      </w:pPr>
      <w:r>
        <w:t>17.3. Тип, класс, рабочее напряжение, ток разряда, уровень защиты и схема подключения УЗИП определяются местом установки и системой заземления. Применяются устройства типа промышленных УЗИП класса 2 или их функциональные аналоги, соответствующие ГОСТ IEC 61643-11 [Н16].</w:t>
      </w:r>
    </w:p>
    <w:p>
      <w:pPr>
        <w:spacing w:after="60"/>
      </w:pPr>
      <w:r>
        <w:t>17.4. УЗИП подключается короткими проводниками, с предусмотренной защитой и индикацией исправности. Наличие устройства без правильного монтажа не считается полноценной защитой.</w:t>
      </w:r>
    </w:p>
    <w:p>
      <w:pPr>
        <w:pStyle w:val="Heading1"/>
        <w:keepNext/>
      </w:pPr>
      <w:r>
        <w:t>18. Мониторинг, обратная связь и диспетчеризация</w:t>
      </w:r>
    </w:p>
    <w:p>
      <w:pPr>
        <w:spacing w:after="60"/>
      </w:pPr>
      <w:r>
        <w:t>18.1. Наличие локальной обратной связи является рекомендуемым параметром, а для критичных систем – обязательным, если оборудование соответствующего класса позволяет её реализовать.</w:t>
      </w:r>
    </w:p>
    <w:p>
      <w:pPr>
        <w:spacing w:after="60"/>
      </w:pPr>
      <w:r>
        <w:t>18.2. Предпочтительные физические интерфейсы: сухие контакты, RS-485, Ethernet, USB и CAN. Предпочтительные открытые протоколы: Modbus RTU, Modbus TCP и SNMP.</w:t>
      </w:r>
    </w:p>
    <w:p>
      <w:pPr>
        <w:spacing w:after="60"/>
      </w:pPr>
      <w:r>
        <w:t>18.3. Интерфейс RS-485 должен иметь документированные параметры линии, адресацию, скорость, формат данных и, желательно, гальваническую развязку. Для длинной линии предусматриваются правильная топология, оконечные резисторы и защита от помех.</w:t>
      </w:r>
    </w:p>
    <w:p>
      <w:pPr>
        <w:spacing w:after="60"/>
      </w:pPr>
      <w:r>
        <w:t>18.4. Для ИБП и стабилизаторов желательно получать входное и выходное напряжение, частоту, ток, мощность, процент загрузки, режим сети/батареи/байпаса, заряд батареи, расчётную автономность, температуру и аварийные состояния.</w:t>
      </w:r>
    </w:p>
    <w:p>
      <w:pPr>
        <w:spacing w:after="60"/>
      </w:pPr>
      <w:r>
        <w:t>18.5. Для блоков питания полезны релейный сигнал «питание исправно», сигнал отказа сети, состояние аккумулятора, низкое напряжение батареи и неисправность зарядного устройства.</w:t>
      </w:r>
    </w:p>
    <w:p>
      <w:pPr>
        <w:spacing w:after="60"/>
      </w:pPr>
      <w:r>
        <w:t>18.6. Основные функции оборудования должны сохраняться без Интернета. Облачный сервис допускается только как дополнительный канал и не должен быть единственным способом контроля.</w:t>
      </w:r>
    </w:p>
    <w:p>
      <w:pPr>
        <w:spacing w:after="60"/>
      </w:pPr>
      <w:r>
        <w:t>18.7. Удалённое управление, отключение выхода и перезапуск разрешаются только при разграничении доступа, журналировании команд и защите от случайного воздействия. Мониторинг и управление должны рассматриваться отдельно.</w:t>
      </w:r>
    </w:p>
    <w:p>
      <w:pPr>
        <w:pStyle w:val="Heading1"/>
        <w:keepNext/>
      </w:pPr>
      <w:r>
        <w:t>19. Надёжность, гарантия и ремонтопригодность</w:t>
      </w:r>
    </w:p>
    <w:p>
      <w:pPr>
        <w:spacing w:after="60"/>
      </w:pPr>
      <w:r>
        <w:t>19.1. Минимально допустимая гарантия для нового оборудования – 1 год. Более длительная гарантия является преимуществом при сопоставимых характеристиках и цене.</w:t>
      </w:r>
    </w:p>
    <w:p>
      <w:pPr>
        <w:spacing w:after="60"/>
      </w:pPr>
      <w:r>
        <w:t>19.2. Предпочтение отдаётся оборудованию со сменными батареями, вентиляторами, предохранителями и коммуникационными модулями, а также с доступной технической поддержкой и запасными частями.</w:t>
      </w:r>
    </w:p>
    <w:p>
      <w:pPr>
        <w:spacing w:after="60"/>
      </w:pPr>
      <w:r>
        <w:t>19.3. Желательны журнал событий, самотестирование батарей, счётчик наработки, предупреждение о необходимости обслуживания и возможность выгрузки настроек.</w:t>
      </w:r>
    </w:p>
    <w:p>
      <w:pPr>
        <w:spacing w:after="60"/>
      </w:pPr>
      <w:r>
        <w:t>19.4. Маркетинговое заявление о длительном сроке службы без условий температуры, нагрузки и обслуживания не принимается как достаточное подтверждение.</w:t>
      </w:r>
    </w:p>
    <w:p>
      <w:pPr>
        <w:pStyle w:val="Heading1"/>
        <w:keepNext/>
      </w:pPr>
      <w:r>
        <w:t>20. Требования к закупке и документации</w:t>
      </w:r>
    </w:p>
    <w:p>
      <w:pPr>
        <w:spacing w:after="60"/>
      </w:pPr>
      <w:r>
        <w:t>20.1. До закупки фиксируются тип нагрузки, напряжение, ток, активная и полная мощность, пусковые токи, температура, влажность, место монтажа, автономность и необходимость мониторинга.</w:t>
      </w:r>
    </w:p>
    <w:p>
      <w:pPr>
        <w:spacing w:after="60"/>
      </w:pPr>
      <w:r>
        <w:t>20.2. В комплекте должны быть паспорт или официальное техническое описание, инструкция на русском языке, схема подключения, гарантийные условия и сведения о совместимых аккумуляторах.</w:t>
      </w:r>
    </w:p>
    <w:p>
      <w:pPr>
        <w:spacing w:after="60"/>
      </w:pPr>
      <w:r>
        <w:t>20.3. Для ИБП и стабилизатора дополнительно запрашиваются перегрузочная характеристика, диапазон работы без перехода на байпас, форма выходного сигнала, уровень шума и перечень интерфейсов.</w:t>
      </w:r>
    </w:p>
    <w:p>
      <w:pPr>
        <w:spacing w:after="60"/>
      </w:pPr>
      <w:r>
        <w:t>20.4. Для аккумулятора проверяются химическая система, ёмкость, допустимый ток, срок хранения, дата изготовления, температурный диапазон, требования к заряду и документированная безопасность.</w:t>
      </w:r>
    </w:p>
    <w:p>
      <w:pPr>
        <w:pStyle w:val="Heading1"/>
        <w:keepNext/>
      </w:pPr>
      <w:r>
        <w:t>21. Входной контроль и приёмка</w:t>
      </w:r>
    </w:p>
    <w:p>
      <w:pPr>
        <w:spacing w:after="60"/>
      </w:pPr>
      <w:r>
        <w:t>21.1. ТСЖ не проводит лабораторные испытания. Для обычной приёмки достаточно документов, визуального контроля, простых измерений и пробной работы.</w:t>
      </w:r>
    </w:p>
    <w:p>
      <w:pPr>
        <w:spacing w:after="60"/>
      </w:pPr>
      <w:r>
        <w:t>21.2. Проверяются целостность корпуса, маркировка, клеммы, отсутствие следов удара, влаги, перегрева, вскрытия и несоответствия модели заказу.</w:t>
      </w:r>
    </w:p>
    <w:p>
      <w:pPr>
        <w:spacing w:after="60"/>
      </w:pPr>
      <w:r>
        <w:t>21.3. Мультиметром проверяется выходное напряжение без нагрузки и под фактической нагрузкой. Для ИБП дополнительно имитируется отключение сети и контролируется сохранение питания.</w:t>
      </w:r>
    </w:p>
    <w:p>
      <w:pPr>
        <w:spacing w:after="60"/>
      </w:pPr>
      <w:r>
        <w:t>21.4. Проверяются работа байпаса, индикация, заряд батареи, вентиляторы, сообщения об ошибках и доступность заявленных интерфейсов мониторинга.</w:t>
      </w:r>
    </w:p>
    <w:p>
      <w:pPr>
        <w:spacing w:after="60"/>
      </w:pPr>
      <w:r>
        <w:t>21.5. Для насосов и двигателей выполняется реальный запуск при наиболее тяжёлом штатном режиме. Если ИБП уходит в перегрузку или байпас, оборудование не принимается.</w:t>
      </w:r>
    </w:p>
    <w:p>
      <w:pPr>
        <w:pStyle w:val="Heading1"/>
        <w:keepNext/>
      </w:pPr>
      <w:r>
        <w:t>22. Эксплуатация и техническое обслуживание</w:t>
      </w:r>
    </w:p>
    <w:p>
      <w:pPr>
        <w:spacing w:after="60"/>
      </w:pPr>
      <w:r>
        <w:t>22.1. Не реже одного раза в год выполняются визуальный осмотр, очистка, проверка клемм, температуры, вентиляции, журнала аварий и состояния аккумуляторов.</w:t>
      </w:r>
    </w:p>
    <w:p>
      <w:pPr>
        <w:spacing w:after="60"/>
      </w:pPr>
      <w:r>
        <w:t>22.2. Проверка автономности выполняется контролируемо и не должна создавать риск остановки критичной системы. Результаты фиксируются.</w:t>
      </w:r>
    </w:p>
    <w:p>
      <w:pPr>
        <w:spacing w:after="60"/>
      </w:pPr>
      <w:r>
        <w:t>22.3. Аккумуляторы заменяются комплектом, если они работают в одной последовательной цепи. Смешивание новых и старых батарей не допускается.</w:t>
      </w:r>
    </w:p>
    <w:p>
      <w:pPr>
        <w:spacing w:after="60"/>
      </w:pPr>
      <w:r>
        <w:t>22.4. Настройки зарядного напряжения и алгоритма заряда изменяются только при наличии документации и понимании типа батареи.</w:t>
      </w:r>
    </w:p>
    <w:p>
      <w:pPr>
        <w:spacing w:after="60"/>
      </w:pPr>
      <w:r>
        <w:t>22.5. После ремонта или замены батарей повторяются проверки, предусмотренные разделом 21.</w:t>
      </w:r>
    </w:p>
    <w:p>
      <w:pPr>
        <w:pStyle w:val="Heading1"/>
        <w:keepNext/>
      </w:pPr>
      <w:r>
        <w:t>23. Исключения и отклонения</w:t>
      </w:r>
    </w:p>
    <w:p>
      <w:pPr>
        <w:spacing w:after="60"/>
      </w:pPr>
      <w:r>
        <w:t>23.1. Отклонение допускается, если базовое решение технически неприменимо, отсутствует на рынке, создаёт несоразмерные затраты либо специальная нагрузка требует иной технологии.</w:t>
      </w:r>
    </w:p>
    <w:p>
      <w:pPr>
        <w:spacing w:after="60"/>
      </w:pPr>
      <w:r>
        <w:t>23.2. Обоснование должно указывать причину, применённую альтернативу, риски, компенсирующие меры, гарантию и ответственного за согласование.</w:t>
      </w:r>
    </w:p>
    <w:p>
      <w:pPr>
        <w:spacing w:after="60"/>
      </w:pPr>
      <w:r>
        <w:t>23.3. Не допускаются отклонения, ослабляющие обязательные требования электрической и пожарной безопасности.</w:t>
      </w:r>
    </w:p>
    <w:p>
      <w:pPr>
        <w:pStyle w:val="Heading1"/>
        <w:keepNext/>
      </w:pPr>
      <w:r>
        <w:t>24. Контроль актуальности Стандарта</w:t>
      </w:r>
    </w:p>
    <w:p>
      <w:pPr>
        <w:spacing w:after="60"/>
      </w:pPr>
      <w:r>
        <w:t>24.1. Нормативные ссылки проверяются не реже одного раза в год, а также перед крупной закупкой или модернизацией.</w:t>
      </w:r>
    </w:p>
    <w:p>
      <w:pPr>
        <w:spacing w:after="60"/>
      </w:pPr>
      <w:r>
        <w:t>24.2. При замене или изменении нормативного документа применяется его действующая редакция. Внутренний Стандарт корректируется решением Правления.</w:t>
      </w:r>
    </w:p>
    <w:p>
      <w:pPr>
        <w:spacing w:after="60"/>
      </w:pPr>
      <w:r>
        <w:t>24.3. Дата последней проверки нормативных ссылок – 26 июля 2026 года.</w:t>
      </w:r>
    </w:p>
    <w:p>
      <w:r>
        <w:br w:type="page"/>
      </w:r>
    </w:p>
    <w:p>
      <w:pPr>
        <w:pStyle w:val="Heading1"/>
        <w:keepNext/>
      </w:pPr>
      <w:r>
        <w:t>Приложение А. Матрица требований по назначению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</w:trPr>
        <w:tc>
          <w:tcPr>
            <w:tcW w:type="dxa" w:w="1814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5"/>
              </w:rPr>
              <w:t>Назначение</w:t>
            </w:r>
          </w:p>
        </w:tc>
        <w:tc>
          <w:tcPr>
            <w:tcW w:type="dxa" w:w="1814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5"/>
              </w:rPr>
              <w:t>Основной тип</w:t>
            </w:r>
          </w:p>
        </w:tc>
        <w:tc>
          <w:tcPr>
            <w:tcW w:type="dxa" w:w="1134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5"/>
              </w:rPr>
              <w:t>Запас</w:t>
            </w:r>
          </w:p>
        </w:tc>
        <w:tc>
          <w:tcPr>
            <w:tcW w:type="dxa" w:w="3061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5"/>
              </w:rPr>
              <w:t>Особенность</w:t>
            </w:r>
          </w:p>
        </w:tc>
        <w:tc>
          <w:tcPr>
            <w:tcW w:type="dxa" w:w="1701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5"/>
              </w:rPr>
              <w:t>Мониторинг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ПК и сервер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Online/VFI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20–30 %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Чистая синусоида; корректное завершение работы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USB, SNMP, RS-485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Сеть и связь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Online/VFI или DC UPS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25 %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Резерв всей цепочки: роутер, коммутатор, оптика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Сухие контакты, SNMP, Modbus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Видеонаблюдение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Online/VFI или DC UPS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25–30 %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Регистратор, диски, PoE, камеры, сеть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SNMP/Modbus, сухие контакты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Контроль доступа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DC UPS или online/VFI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25–30 %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Расчёт замков, контроллеров и зарядного тока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Сухие контакты, RS-485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Насос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Online/VFI специального исполнения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По пуску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Только подтверждённая двигательная нагрузка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Сухие контакты, RS-485/SNMP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Освещение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Драйвер/БП; при резерве online/VFI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20–30 %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Пусковые токи драйверов и качество света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Сигнал аварии, Modbus при наличии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Автоматика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DC UPS или online/VFI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25 %</w:t>
            </w:r>
          </w:p>
        </w:tc>
        <w:tc>
          <w:tcPr>
            <w:tcW w:type="dxa" w:w="306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Селективная защита ветвей, отсутствие перезагрузки</w:t>
            </w:r>
          </w:p>
        </w:tc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5"/>
              </w:rPr>
              <w:t>RS-485/Modbus, Ethernet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Приложение Б. Карта выбора оборудования</w:t>
      </w:r>
    </w:p>
    <w:p>
      <w:pPr>
        <w:spacing w:after="60"/>
      </w:pPr>
      <w:r>
        <w:t>1. Зафиксировать нагрузку: напряжение, Вт, ВА, ток, пусковой ток и режим работы.</w:t>
      </w:r>
    </w:p>
    <w:p>
      <w:pPr>
        <w:spacing w:after="60"/>
      </w:pPr>
      <w:r>
        <w:t>2. Определить последствия отказа и требуемое время автономности.</w:t>
      </w:r>
    </w:p>
    <w:p>
      <w:pPr>
        <w:spacing w:after="60"/>
      </w:pPr>
      <w:r>
        <w:t>3. Определить среду: помещение, улица, влажность, температура, пыль и доступ людей.</w:t>
      </w:r>
    </w:p>
    <w:p>
      <w:pPr>
        <w:spacing w:after="60"/>
      </w:pPr>
      <w:r>
        <w:t>4. Выбрать технологию: герметичный БП, драйвер, DC UPS, online/VFI ИБП или инверторный стабилизатор.</w:t>
      </w:r>
    </w:p>
    <w:p>
      <w:pPr>
        <w:spacing w:after="60"/>
      </w:pPr>
      <w:r>
        <w:t>5. Рассчитать запас мощности и проверить перегрузочную кривую.</w:t>
      </w:r>
    </w:p>
    <w:p>
      <w:pPr>
        <w:spacing w:after="60"/>
      </w:pPr>
      <w:r>
        <w:t>6. Выбрать батарею только из перечня совместимых и оценить пожарные риски.</w:t>
      </w:r>
    </w:p>
    <w:p>
      <w:pPr>
        <w:spacing w:after="60"/>
      </w:pPr>
      <w:r>
        <w:t>7. Спроектировать кабели, предохранители, автоматы, PE и УЗИП.</w:t>
      </w:r>
    </w:p>
    <w:p>
      <w:pPr>
        <w:spacing w:after="60"/>
      </w:pPr>
      <w:r>
        <w:t>8. Определить интерфейсы обратной связи и точки диспетчеризации.</w:t>
      </w:r>
    </w:p>
    <w:p>
      <w:pPr>
        <w:spacing w:after="60"/>
      </w:pPr>
      <w:r>
        <w:t>9. Проверить документы соответствия, гарантию и ремонтопригодность.</w:t>
      </w:r>
    </w:p>
    <w:p>
      <w:pPr>
        <w:spacing w:after="60"/>
      </w:pPr>
      <w:r>
        <w:t>10. Провести визуальную приёмку и пробную работу с реальной нагрузкой.</w:t>
      </w:r>
    </w:p>
    <w:p>
      <w:pPr>
        <w:pStyle w:val="Heading1"/>
        <w:keepNext/>
      </w:pPr>
      <w:r>
        <w:t>Приложение В. Лист приёмки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8220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8"/>
              </w:rPr>
              <w:t>Проверка</w:t>
            </w:r>
          </w:p>
        </w:tc>
        <w:tc>
          <w:tcPr>
            <w:tcW w:type="dxa" w:w="1134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8"/>
              </w:rPr>
              <w:t>Отметка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Модель и комплектность соответствуют заказу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Паспорт и инструкция на русском языке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Маркировка и документ соответствия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Корпус, клеммы и кабели без повреждений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Выходное напряжение без нагрузки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Выходное напряжение под нагрузкой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Запуск наиболее тяжёлой нагрузки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Работа при отключении сети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Байпас и защитные функции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Дата и состояние аккумуляторов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Температура и вентиляция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Интерфейсы мониторинга и аварийные сигналы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Маркировка линий и аппаратов защиты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  <w:tr>
        <w:trPr>
          <w:cantSplit/>
        </w:trPr>
        <w:tc>
          <w:tcPr>
            <w:tcW w:type="dxa" w:w="8220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Результат и замечания зафиксированы</w:t>
            </w:r>
          </w:p>
        </w:tc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8"/>
              </w:rPr>
              <w:t>□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Приложение Г. Параметры мониторинга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2551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7"/>
              </w:rPr>
              <w:t>Группа</w:t>
            </w:r>
          </w:p>
        </w:tc>
        <w:tc>
          <w:tcPr>
            <w:tcW w:type="dxa" w:w="6803"/>
            <w:shd w:fill="DCE6F1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b/>
                <w:sz w:val="17"/>
              </w:rPr>
              <w:t>Требования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Минимум для критичного оборудования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Сеть исправна; работа от батареи; общая авария; низкий заряд; байпас.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Электрические параметры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Вход/выход: напряжение, частота, ток, активная и полная мощность, загрузка.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Аккумулятор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Напряжение, ток заряда/разряда, заряд, температура, расчётная автономность, необходимость замены.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Тепловой режим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Температура силовой части и батареи, состояние вентиляторов, перегрев.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События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Пропадание сети, переходы режимов, перегрузка, короткое замыкание, ошибки BMS, тест батареи.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Интерфейсы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Сухие контакты; RS-485/Modbus RTU; Ethernet/Modbus TCP или SNMP; USB; CAN.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Требование к доступу</w:t>
            </w:r>
          </w:p>
        </w:tc>
        <w:tc>
          <w:tcPr>
            <w:tcW w:type="dxa" w:w="6803"/>
            <w:tcMar>
              <w:top w:w="90" w:type="dxa"/>
              <w:start w:w="100" w:type="dxa"/>
              <w:bottom w:w="90" w:type="dxa"/>
              <w:end w:w="100" w:type="dxa"/>
            </w:tcMar>
            <w:vAlign w:val="top"/>
          </w:tcPr>
          <w:p>
            <w:pPr>
              <w:spacing w:after="0"/>
            </w:pPr>
            <w:r>
              <w:rPr>
                <w:sz w:val="17"/>
              </w:rPr>
              <w:t>Локальная работа без облака; управление только с авторизацией и журналированием.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Приложение Д. Нормативные и справочные документы</w:t>
      </w:r>
    </w:p>
    <w:p>
      <w:pPr>
        <w:spacing w:after="60"/>
      </w:pPr>
      <w:r>
        <w:t>Перечень сформирован по состоянию на 26 июля 2026 года. Перед применением следует проверить актуальность, изменения и область действия документа.</w:t>
      </w:r>
    </w:p>
    <w:p>
      <w:pPr>
        <w:spacing w:after="20" w:line="240" w:lineRule="auto"/>
        <w:jc w:val="left"/>
      </w:pPr>
      <w:r>
        <w:rPr>
          <w:b/>
          <w:sz w:val="17"/>
        </w:rPr>
        <w:t xml:space="preserve">[Н1] ТР ТС 004/2011 «О безопасности низковольтного оборудования». </w:t>
      </w:r>
      <w:hyperlink r:id="rId11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[Н2] ТР ТС 020/2011 «Электромагнитная совместимость технических средств». </w:t>
      </w:r>
      <w:hyperlink r:id="rId12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[Н3] ГОСТ IEC 62040-1-2024. Системы бесперебойного энергоснабжения. Общие положения и требования безопасности. </w:t>
      </w:r>
      <w:hyperlink r:id="rId13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[Н4] ГОСТ IEC 62040-2-2024. Электромагнитная совместимость систем бесперебойного питания. </w:t>
      </w:r>
      <w:hyperlink r:id="rId14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[Н5] ГОСТ IEC 62040-3-2024. Эксплуатационные характеристики и испытания ИБП. </w:t>
      </w:r>
      <w:hyperlink r:id="rId15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[Н6] ГОСТ IEC 62040-5-3-2024. ИБП постоянного тока. Требования к рабочим характеристикам и испытаниям. </w:t>
      </w:r>
      <w:hyperlink r:id="rId16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[Н7] ГОСТ IEC 61204-2013. Источники питания постоянного тока низковольтные. Рабочие характеристики. </w:t>
      </w:r>
      <w:hyperlink r:id="rId17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[Н8] ГОСТ IEC 61204-7-2023. Источники питания низковольтные импульсные. Требования безопасности. </w:t>
      </w:r>
      <w:hyperlink r:id="rId18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[Н9] ГОСТ IEC 61558-1-2012. Безопасность силовых трансформаторов, блоков питания и реакторов. </w:t>
      </w:r>
      <w:hyperlink r:id="rId19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[Н10] ГОСТ IEC 61558-2-16-2015. Импульсные блоки питания и трансформаторы для них. </w:t>
      </w:r>
      <w:hyperlink r:id="rId20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[Н11] ГОСТ IEC 61347-1-2019. Аппараты пускорегулирующие для ламп. Общие требования безопасности. </w:t>
      </w:r>
      <w:hyperlink r:id="rId21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[Н12] ГОСТ IEC 61347-2-13-2021. Электронные аппараты для светодиодных модулей. </w:t>
      </w:r>
      <w:hyperlink r:id="rId22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[Н13] ГОСТ 32144-2013. Нормы качества электрической энергии в системах электроснабжения общего назначения. </w:t>
      </w:r>
      <w:hyperlink r:id="rId23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[Н14] ГОСТ 29322-2014. Напряжения стандартные. </w:t>
      </w:r>
      <w:hyperlink r:id="rId24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[Н15] ГОСТ 14254-2015. Степени защиты, обеспечиваемые оболочками, код IP. </w:t>
      </w:r>
      <w:hyperlink r:id="rId25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[Н16] ГОСТ IEC 61643-11-2013. Низковольтные устройства защиты от импульсных перенапряжений. </w:t>
      </w:r>
      <w:hyperlink r:id="rId26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[Н17] ГОСТ Р 50571.4.41-2022. Защита от поражения электрическим током. </w:t>
      </w:r>
      <w:hyperlink r:id="rId27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[Н18] ГОСТ Р 50571.4.43-2012. Защита от сверхтока. </w:t>
      </w:r>
      <w:hyperlink r:id="rId28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[Н19] ГОСТ Р 50571.4.44-2019. Защита от отклонений напряжения и электромагнитных возмущений. </w:t>
      </w:r>
      <w:hyperlink r:id="rId29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[Н20] ГОСТ Р 50571.5.52-2011. Электропроводки. </w:t>
      </w:r>
      <w:hyperlink r:id="rId30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[Н21] ГОСТ Р 50571.5.53-2013. Отделение, коммутация и управление. </w:t>
      </w:r>
      <w:hyperlink r:id="rId31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[Н22] ГОСТ Р 50571.5.54-2024. Заземляющие устройства и защитные проводники. </w:t>
      </w:r>
      <w:hyperlink r:id="rId32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[Н23] ГОСТ Р 50571.5.56-2013. Системы обеспечения безопасности. </w:t>
      </w:r>
      <w:hyperlink r:id="rId33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[Н24] ГОСТ 31565-2012. Кабельные изделия. Требования пожарной безопасности. </w:t>
      </w:r>
      <w:hyperlink r:id="rId34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[Н25] ГОСТ 31996-2012. Кабели силовые с пластмассовой изоляцией. </w:t>
      </w:r>
      <w:hyperlink r:id="rId35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[Н26] ГОСТ Р МЭК 62485-2-2011. Требования безопасности к стационарным батареям. </w:t>
      </w:r>
      <w:hyperlink r:id="rId36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[Н27] ГОСТ Р МЭК 60896-22-2015. Стационарные свинцово-кислотные батареи с регулирующим клапаном. </w:t>
      </w:r>
      <w:hyperlink r:id="rId37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[Н28] ГОСТ Р МЭК 62619-2023. Безопасность литиевых аккумуляторов промышленных применений. </w:t>
      </w:r>
      <w:hyperlink r:id="rId38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[Н29] ГОСТ Р МЭК 63056-2024. Литиевые батареи для систем накопления электрической энергии. </w:t>
      </w:r>
      <w:hyperlink r:id="rId39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[Н30] СП 256.1325800.2016. Электроустановки жилых и общественных зданий. </w:t>
      </w:r>
      <w:hyperlink r:id="rId40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[Н31] СП 76.13330.2016. Электротехнические устройства. </w:t>
      </w:r>
      <w:hyperlink r:id="rId41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[Н32] СП 6.13130.2025. Низковольтные электроустановки. Требования пожарной безопасности. </w:t>
      </w:r>
      <w:hyperlink r:id="rId42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[Н33] СП 51.13330.2011. Защита от шума. </w:t>
      </w:r>
      <w:hyperlink r:id="rId43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p>
      <w:pPr>
        <w:spacing w:after="20" w:line="240" w:lineRule="auto"/>
        <w:jc w:val="left"/>
      </w:pPr>
      <w:r>
        <w:rPr>
          <w:b/>
          <w:sz w:val="17"/>
        </w:rPr>
        <w:t xml:space="preserve">[Н34] СанПиН 1.2.3685-21 с действующими изменениями. Гигиенические нормативы факторов среды обитания. </w:t>
      </w:r>
      <w:hyperlink r:id="rId44">
        <w:r>
          <w:rPr>
            <w:color w:val="0563C1"/>
            <w:u w:val="single"/>
            <w:sz w:val="17"/>
            <w:szCs w:val="17"/>
          </w:rPr>
          <w:t>Карточка документа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7F7F7F"/>
        <w:sz w:val="16"/>
      </w:rPr>
      <w:t xml:space="preserve">Версия 1.0  •  Проект для утверждения  •  </w:t>
    </w:r>
    <w:r>
      <w:rPr>
        <w:rFonts w:ascii="Arial" w:hAnsi="Arial"/>
        <w:sz w:val="16"/>
      </w:rPr>
      <w:t xml:space="preserve">Стр.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  <w:pBdr>
        <w:bottom w:val="single" w:sz="4" w:space="2" w:color="D9E2F3"/>
      </w:pBdr>
    </w:pPr>
    <w:r>
      <w:rPr>
        <w:color w:val="6E6E6E"/>
        <w:sz w:val="16"/>
      </w:rPr>
      <w:t>ТСЖ «Фридриха Энгельса, 7»  |  Единый стандарт по источникам электропитания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  <w:jc w:val="both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0404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80" w:line="240" w:lineRule="auto"/>
      <w:contextualSpacing/>
      <w:jc w:val="center"/>
    </w:pPr>
    <w:rPr>
      <w:rFonts w:asciiTheme="majorHAnsi" w:eastAsiaTheme="majorEastAsia" w:hAnsiTheme="majorHAnsi" w:cstheme="majorBidi" w:ascii="Arial" w:hAnsi="Arial" w:eastAsia="Arial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Arial" w:hAnsi="Arial" w:eastAsia="Arial"/>
      <w:i/>
      <w:iCs/>
      <w:color w:val="40404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40" w:line="240" w:lineRule="auto"/>
    </w:pPr>
    <w:rPr>
      <w:rFonts w:ascii="Arial" w:hAnsi="Arial" w:eastAsia="Arial"/>
      <w:b w:val="0"/>
      <w:color w:val="404040"/>
      <w:sz w:val="17"/>
    </w:rPr>
  </w:style>
  <w:style w:type="paragraph" w:customStyle="1" w:styleId="TableText">
    <w:name w:val="Table Text"/>
    <w:pPr>
      <w:spacing w:after="0" w:line="240" w:lineRule="auto"/>
    </w:pPr>
    <w:rPr>
      <w:rFonts w:ascii="Arial" w:hAnsi="Arial" w:eastAsia="Arial"/>
      <w:b w:val="0"/>
      <w:color w:val="404040"/>
      <w:sz w:val="17"/>
    </w:rPr>
  </w:style>
  <w:style w:type="paragraph" w:customStyle="1" w:styleId="TableHeader">
    <w:name w:val="Table Header"/>
    <w:pPr>
      <w:spacing w:after="0" w:line="240" w:lineRule="auto"/>
    </w:pPr>
    <w:rPr>
      <w:rFonts w:ascii="Arial" w:hAnsi="Arial" w:eastAsia="Arial"/>
      <w:b/>
      <w:color w:val="FFFFFF"/>
      <w:sz w:val="17"/>
    </w:rPr>
  </w:style>
  <w:style w:type="paragraph" w:customStyle="1" w:styleId="Callout">
    <w:name w:val="Callout"/>
    <w:pPr>
      <w:spacing w:after="60" w:line="252" w:lineRule="auto"/>
    </w:pPr>
    <w:rPr>
      <w:rFonts w:ascii="Arial" w:hAnsi="Arial" w:eastAsia="Arial"/>
      <w:b w:val="0"/>
      <w:color w:val="404040"/>
      <w:sz w:val="20"/>
    </w:rPr>
  </w:style>
  <w:style w:type="paragraph" w:customStyle="1" w:styleId="TOCLine">
    <w:name w:val="TOC Line"/>
    <w:pPr>
      <w:spacing w:after="40"/>
    </w:pPr>
    <w:rPr>
      <w:rFonts w:ascii="Arial" w:hAnsi="Arial" w:eastAsia="Arial"/>
      <w:b w:val="0"/>
      <w:color w:val="40404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ec.eaeunion.org/comission/department/deptexreg/tr/Down_Volt.php" TargetMode="External"/><Relationship Id="rId12" Type="http://schemas.openxmlformats.org/officeDocument/2006/relationships/hyperlink" Target="https://eec.eaeunion.org/comission/department/deptexreg/tr/EMS.php" TargetMode="External"/><Relationship Id="rId13" Type="http://schemas.openxmlformats.org/officeDocument/2006/relationships/hyperlink" Target="https://protect.gost.ru/gost/details/95339de8-714e-4d5a-9527-030c08eccfb2" TargetMode="External"/><Relationship Id="rId14" Type="http://schemas.openxmlformats.org/officeDocument/2006/relationships/hyperlink" Target="https://protect.gost.ru/gost/details/f9ebfa3f-dea4-4906-acd4-c714cfb5c246" TargetMode="External"/><Relationship Id="rId15" Type="http://schemas.openxmlformats.org/officeDocument/2006/relationships/hyperlink" Target="https://protect.gost.ru/gost/details/d5a1b8fd-49db-433f-a504-6534bf11c016" TargetMode="External"/><Relationship Id="rId16" Type="http://schemas.openxmlformats.org/officeDocument/2006/relationships/hyperlink" Target="https://protect.gost.ru/gost/details/68f3f5dd-7e0c-47f2-b125-85a5a5cdd042" TargetMode="External"/><Relationship Id="rId17" Type="http://schemas.openxmlformats.org/officeDocument/2006/relationships/hyperlink" Target="https://protect.gost.ru/gost/details/5da5b6bc-62d6-4f92-9f17-11bfc1cd274d" TargetMode="External"/><Relationship Id="rId18" Type="http://schemas.openxmlformats.org/officeDocument/2006/relationships/hyperlink" Target="https://protect.gost.ru/gost/details/f1dc3dbd-4300-481b-984b-3120f8a9b980" TargetMode="External"/><Relationship Id="rId19" Type="http://schemas.openxmlformats.org/officeDocument/2006/relationships/hyperlink" Target="https://protect.gost.ru/gost/details/7bdff3f7-5de9-43eb-9f1e-639bbb3cdfde" TargetMode="External"/><Relationship Id="rId20" Type="http://schemas.openxmlformats.org/officeDocument/2006/relationships/hyperlink" Target="https://protect.gost.ru/gost/details/a8d7c515-8647-4baa-8213-3455e7f8c1ff" TargetMode="External"/><Relationship Id="rId21" Type="http://schemas.openxmlformats.org/officeDocument/2006/relationships/hyperlink" Target="https://protect.gost.ru/gost/details/1d448925-f0fc-4ebd-a453-2ce050d993b5" TargetMode="External"/><Relationship Id="rId22" Type="http://schemas.openxmlformats.org/officeDocument/2006/relationships/hyperlink" Target="https://protect.gost.ru/gost/details/3ddab113-2587-4992-b3cc-362bd4712c7b" TargetMode="External"/><Relationship Id="rId23" Type="http://schemas.openxmlformats.org/officeDocument/2006/relationships/hyperlink" Target="https://protect.gost.ru/gost/details/198e3b90-1710-4ca8-ab15-c891d8012f39" TargetMode="External"/><Relationship Id="rId24" Type="http://schemas.openxmlformats.org/officeDocument/2006/relationships/hyperlink" Target="https://protect.gost.ru/gost/details/43f3a069-152a-4de3-b4c5-769a7bada6e3" TargetMode="External"/><Relationship Id="rId25" Type="http://schemas.openxmlformats.org/officeDocument/2006/relationships/hyperlink" Target="https://protect.gost.ru/gost/details/84eb4e10-5ec2-4bf3-adb2-964a5f5e4ef0" TargetMode="External"/><Relationship Id="rId26" Type="http://schemas.openxmlformats.org/officeDocument/2006/relationships/hyperlink" Target="https://protect.gost.ru/gost/details/20189b88-97cc-4ab0-af92-f8b1a1be8883" TargetMode="External"/><Relationship Id="rId27" Type="http://schemas.openxmlformats.org/officeDocument/2006/relationships/hyperlink" Target="https://protect.gost.ru/gost/details/ce4bedcf-0ab7-43a7-9f3e-cab5a14e6580" TargetMode="External"/><Relationship Id="rId28" Type="http://schemas.openxmlformats.org/officeDocument/2006/relationships/hyperlink" Target="https://protect.gost.ru/gost/details/f057a951-5421-4fe4-b9cf-0587db7ba8cd" TargetMode="External"/><Relationship Id="rId29" Type="http://schemas.openxmlformats.org/officeDocument/2006/relationships/hyperlink" Target="https://protect.gost.ru/gost/details/1611718c-78ac-4dca-92fb-db3dbd64a6b7" TargetMode="External"/><Relationship Id="rId30" Type="http://schemas.openxmlformats.org/officeDocument/2006/relationships/hyperlink" Target="https://protect.gost.ru/gost/details/9ad936e3-1370-4745-a211-ad1c7737bb68" TargetMode="External"/><Relationship Id="rId31" Type="http://schemas.openxmlformats.org/officeDocument/2006/relationships/hyperlink" Target="https://protect.gost.ru/gost/details/417560d3-ec39-43e6-8c3d-87bc360022a9" TargetMode="External"/><Relationship Id="rId32" Type="http://schemas.openxmlformats.org/officeDocument/2006/relationships/hyperlink" Target="https://protect.gost.ru/gost/details/45fc74f0-6fce-4163-8982-f2a89c8d1792" TargetMode="External"/><Relationship Id="rId33" Type="http://schemas.openxmlformats.org/officeDocument/2006/relationships/hyperlink" Target="https://protect.gost.ru/gost/details/f3454296-f071-4e0e-b46f-48497060db33" TargetMode="External"/><Relationship Id="rId34" Type="http://schemas.openxmlformats.org/officeDocument/2006/relationships/hyperlink" Target="https://protect.gost.ru/gost/details/1ec12685-51c3-482f-aa46-84d87e03a378" TargetMode="External"/><Relationship Id="rId35" Type="http://schemas.openxmlformats.org/officeDocument/2006/relationships/hyperlink" Target="https://protect.gost.ru/gost/details/3fc51d04-aca0-4ad3-befe-695a344db5fd" TargetMode="External"/><Relationship Id="rId36" Type="http://schemas.openxmlformats.org/officeDocument/2006/relationships/hyperlink" Target="https://protect.gost.ru/gost/details/8cd30cbf-fbdf-49e8-a527-434100eab2ce" TargetMode="External"/><Relationship Id="rId37" Type="http://schemas.openxmlformats.org/officeDocument/2006/relationships/hyperlink" Target="https://protect.gost.ru/gost/details/56db3d05-6063-45c3-8268-e87a44d91aba" TargetMode="External"/><Relationship Id="rId38" Type="http://schemas.openxmlformats.org/officeDocument/2006/relationships/hyperlink" Target="https://protect.gost.ru/gost/details/32add51d-7b51-4114-8fa4-9c21acbb5a04" TargetMode="External"/><Relationship Id="rId39" Type="http://schemas.openxmlformats.org/officeDocument/2006/relationships/hyperlink" Target="https://protect.gost.ru/gost/details/002228d8-5395-4c26-85c0-5c809ca61143" TargetMode="External"/><Relationship Id="rId40" Type="http://schemas.openxmlformats.org/officeDocument/2006/relationships/hyperlink" Target="https://docs.cntd.ru/document/1200139957" TargetMode="External"/><Relationship Id="rId41" Type="http://schemas.openxmlformats.org/officeDocument/2006/relationships/hyperlink" Target="https://protect.gost.ru/sp/details/e7468d76-0b61-4d89-b386-c3b2682caee5" TargetMode="External"/><Relationship Id="rId42" Type="http://schemas.openxmlformats.org/officeDocument/2006/relationships/hyperlink" Target="https://www.consultant.ru/document/cons_doc_LAW_524326/711fd053bc9ba5d93671ceb8732cd2bf48033b73/" TargetMode="External"/><Relationship Id="rId43" Type="http://schemas.openxmlformats.org/officeDocument/2006/relationships/hyperlink" Target="https://protect.gost.ru/sp/details/04d467f1-c956-4238-8bc6-a066ecb17990" TargetMode="External"/><Relationship Id="rId44" Type="http://schemas.openxmlformats.org/officeDocument/2006/relationships/hyperlink" Target="https://publication.pravo.gov.ru/document/000120251024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Единый стандарт ТСЖ «Фридриха Энгельса, 7» по выбору и применению источников света</dc:title>
  <dc:subject>Внутренний стандарт по источникам света и светильникам</dc:subject>
  <dc:creator>ТСЖ «Фридриха Энгельса, 7»</dc:creator>
  <cp:keywords>освещение, светодиоды, CRI, 2700 К, пульсации, IP, ТСЖ</cp:keywords>
  <dc:description>Проект версии 1.0. Нормативные ссылки проверены 25.07.2026.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